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501C" w14:textId="79BD3076" w:rsidR="00C360DE" w:rsidRDefault="00C360DE"/>
    <w:p w14:paraId="60B22C9C" w14:textId="77777777" w:rsidR="00531267" w:rsidRPr="00531267" w:rsidRDefault="00531267" w:rsidP="00531267">
      <w:pPr>
        <w:jc w:val="center"/>
        <w:outlineLvl w:val="1"/>
        <w:rPr>
          <w:rFonts w:ascii="Verdana" w:eastAsia="Calibri" w:hAnsi="Verdana" w:cs="Times New Roman"/>
          <w:b/>
          <w:bCs/>
        </w:rPr>
      </w:pPr>
      <w:r w:rsidRPr="00531267">
        <w:rPr>
          <w:rFonts w:ascii="Verdana" w:eastAsia="Calibri" w:hAnsi="Verdana" w:cs="Times New Roman"/>
          <w:b/>
          <w:bCs/>
        </w:rPr>
        <w:t>Tilskuddssatser Næring- og miljøtiltak i skogbruket (NMSK)</w:t>
      </w:r>
    </w:p>
    <w:p w14:paraId="2E664E0A" w14:textId="15ACA995" w:rsidR="00531267" w:rsidRPr="00531267" w:rsidRDefault="00531267" w:rsidP="00531267">
      <w:pPr>
        <w:jc w:val="center"/>
        <w:outlineLvl w:val="1"/>
        <w:rPr>
          <w:rFonts w:ascii="Verdana" w:eastAsia="Calibri" w:hAnsi="Verdana" w:cs="Times New Roman"/>
          <w:b/>
          <w:bCs/>
        </w:rPr>
      </w:pPr>
      <w:r w:rsidRPr="00531267">
        <w:rPr>
          <w:rFonts w:ascii="Verdana" w:eastAsia="Calibri" w:hAnsi="Verdana" w:cs="Times New Roman"/>
          <w:b/>
          <w:bCs/>
        </w:rPr>
        <w:t>Kristiansand 202</w:t>
      </w:r>
      <w:r w:rsidR="00CD51B7">
        <w:rPr>
          <w:rFonts w:ascii="Verdana" w:eastAsia="Calibri" w:hAnsi="Verdana" w:cs="Times New Roman"/>
          <w:b/>
          <w:bCs/>
        </w:rPr>
        <w:t>5</w:t>
      </w:r>
    </w:p>
    <w:p w14:paraId="25CCA8A8" w14:textId="77777777" w:rsidR="00531267" w:rsidRPr="00531267" w:rsidRDefault="00531267" w:rsidP="00531267">
      <w:pPr>
        <w:rPr>
          <w:rFonts w:ascii="Verdana" w:eastAsia="Calibri" w:hAnsi="Verdana" w:cs="Times New Roman"/>
          <w:sz w:val="20"/>
          <w:szCs w:val="20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992"/>
        <w:gridCol w:w="1984"/>
        <w:gridCol w:w="3686"/>
      </w:tblGrid>
      <w:tr w:rsidR="00531267" w:rsidRPr="00531267" w14:paraId="6D9B7B89" w14:textId="77777777" w:rsidTr="00531267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6EF266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bookmarkStart w:id="0" w:name="_Hlk33013973"/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Tiltak: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5603D4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Kode: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CDDAE84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*Tilskuddssats: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F7CB0E7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Merknad: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bookmarkEnd w:id="0"/>
      <w:tr w:rsidR="00531267" w:rsidRPr="00531267" w14:paraId="7364DEA9" w14:textId="77777777" w:rsidTr="00273632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F2D16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Ungskogpleie 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15147" w14:textId="77777777" w:rsidR="00531267" w:rsidRPr="00531267" w:rsidRDefault="00531267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133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7D1AE" w14:textId="3DA21385" w:rsidR="00531267" w:rsidRPr="00531267" w:rsidRDefault="00DA4A6A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50</w:t>
            </w:r>
            <w:r w:rsidR="00531267" w:rsidRPr="00531267">
              <w:rPr>
                <w:rFonts w:ascii="Verdana" w:eastAsia="Calibri" w:hAnsi="Verdana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2CC72" w14:textId="5AF827CB" w:rsidR="00A534A4" w:rsidRDefault="00A534A4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Timepris for eget arbeid inkl. motorsag</w:t>
            </w:r>
            <w:r w:rsidR="00DA4A6A">
              <w:rPr>
                <w:rFonts w:ascii="Verdana" w:eastAsia="Calibri" w:hAnsi="Verdana" w:cs="Times New Roman"/>
                <w:sz w:val="20"/>
                <w:szCs w:val="20"/>
              </w:rPr>
              <w:t>/ryddesag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er kr </w:t>
            </w:r>
            <w:r w:rsidR="00DA4A6A">
              <w:rPr>
                <w:rFonts w:ascii="Verdana" w:eastAsia="Calibri" w:hAnsi="Verdana" w:cs="Times New Roman"/>
                <w:sz w:val="20"/>
                <w:szCs w:val="20"/>
              </w:rPr>
              <w:t>400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,-. </w:t>
            </w:r>
          </w:p>
          <w:p w14:paraId="2DCBCE01" w14:textId="77777777" w:rsidR="0049512B" w:rsidRDefault="00A534A4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Maks. kostnad </w:t>
            </w:r>
            <w:r w:rsidR="00DA4A6A">
              <w:rPr>
                <w:rFonts w:ascii="Verdana" w:eastAsia="Calibri" w:hAnsi="Verdana" w:cs="Times New Roman"/>
                <w:sz w:val="20"/>
                <w:szCs w:val="20"/>
              </w:rPr>
              <w:t>pr daa for eget arbeid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="00DA4A6A">
              <w:rPr>
                <w:rFonts w:ascii="Verdana" w:eastAsia="Calibri" w:hAnsi="Verdana" w:cs="Times New Roman"/>
                <w:sz w:val="20"/>
                <w:szCs w:val="20"/>
              </w:rPr>
              <w:t xml:space="preserve">er kr </w:t>
            </w:r>
            <w:r w:rsidR="0049512B">
              <w:rPr>
                <w:rFonts w:ascii="Verdana" w:eastAsia="Calibri" w:hAnsi="Verdana" w:cs="Times New Roman"/>
                <w:sz w:val="20"/>
                <w:szCs w:val="20"/>
              </w:rPr>
              <w:t>9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00,</w:t>
            </w:r>
            <w:proofErr w:type="gramStart"/>
            <w:r>
              <w:rPr>
                <w:rFonts w:ascii="Verdana" w:eastAsia="Calibri" w:hAnsi="Verdana" w:cs="Times New Roman"/>
                <w:sz w:val="20"/>
                <w:szCs w:val="20"/>
              </w:rPr>
              <w:t>-</w:t>
            </w:r>
            <w:r w:rsidR="00DA4A6A">
              <w:rPr>
                <w:rFonts w:ascii="Verdana" w:eastAsia="Calibri" w:hAnsi="Verdana" w:cs="Times New Roman"/>
                <w:sz w:val="20"/>
                <w:szCs w:val="20"/>
              </w:rPr>
              <w:t>.</w:t>
            </w:r>
            <w:r w:rsidR="004B6899">
              <w:rPr>
                <w:rFonts w:ascii="Verdana" w:eastAsia="Calibri" w:hAnsi="Verdana" w:cs="Times New Roman"/>
                <w:sz w:val="20"/>
                <w:szCs w:val="20"/>
              </w:rPr>
              <w:t>*</w:t>
            </w:r>
            <w:proofErr w:type="gramEnd"/>
          </w:p>
          <w:p w14:paraId="73A3F116" w14:textId="0082935F" w:rsidR="00AE0E7B" w:rsidRPr="00531267" w:rsidRDefault="00AE0E7B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Søknadsfrist </w:t>
            </w:r>
          </w:p>
        </w:tc>
      </w:tr>
      <w:tr w:rsidR="00531267" w:rsidRPr="00531267" w14:paraId="29F18E8F" w14:textId="77777777" w:rsidTr="004B6899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EFB64" w14:textId="2A003E3C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F3139" w14:textId="50B0CEF4" w:rsidR="00531267" w:rsidRPr="00531267" w:rsidRDefault="00531267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04853" w14:textId="6CC80691" w:rsidR="00531267" w:rsidRPr="00531267" w:rsidRDefault="00531267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37238" w14:textId="314630B9" w:rsidR="009952A9" w:rsidRPr="00531267" w:rsidRDefault="009952A9" w:rsidP="00531267">
            <w:pPr>
              <w:rPr>
                <w:rFonts w:ascii="Verdana" w:eastAsia="Calibri" w:hAnsi="Verdana" w:cs="Times New Roman"/>
                <w:sz w:val="20"/>
                <w:szCs w:val="20"/>
                <w:lang w:val="nn-NO"/>
              </w:rPr>
            </w:pPr>
          </w:p>
        </w:tc>
      </w:tr>
      <w:tr w:rsidR="00BD0E3D" w:rsidRPr="00531267" w14:paraId="339D5B3E" w14:textId="77777777" w:rsidTr="004B6899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7B473" w14:textId="1281330D" w:rsidR="00BD0E3D" w:rsidRPr="00531267" w:rsidRDefault="00BD0E3D" w:rsidP="00BD0E3D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27B1E" w14:textId="60FE2FEB" w:rsidR="00BD0E3D" w:rsidRPr="00531267" w:rsidRDefault="00BD0E3D" w:rsidP="00BD0E3D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9F17C" w14:textId="162693BB" w:rsidR="00BD0E3D" w:rsidRPr="00531267" w:rsidRDefault="00BD0E3D" w:rsidP="00BD0E3D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1F5BE" w14:textId="6660443C" w:rsidR="00AB1437" w:rsidRPr="00531267" w:rsidRDefault="00AB1437" w:rsidP="00BD0E3D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7F0E8CA2" w14:textId="77777777" w:rsidR="00531267" w:rsidRPr="00531267" w:rsidRDefault="00531267" w:rsidP="00531267">
      <w:pPr>
        <w:rPr>
          <w:rFonts w:ascii="Verdana" w:eastAsia="Calibri" w:hAnsi="Verdana" w:cs="Times New Roman"/>
          <w:sz w:val="20"/>
          <w:szCs w:val="20"/>
        </w:rPr>
      </w:pPr>
      <w:r w:rsidRPr="00531267">
        <w:rPr>
          <w:rFonts w:ascii="Verdana" w:eastAsia="Calibri" w:hAnsi="Verdana" w:cs="Times New Roman"/>
          <w:b/>
          <w:bCs/>
          <w:sz w:val="20"/>
          <w:szCs w:val="20"/>
        </w:rPr>
        <w:t> </w:t>
      </w:r>
      <w:bookmarkStart w:id="1" w:name="_Hlk33096272"/>
      <w:r w:rsidRPr="00531267">
        <w:rPr>
          <w:rFonts w:ascii="Verdana" w:eastAsia="Calibri" w:hAnsi="Verdana" w:cs="Times New Roman"/>
          <w:b/>
          <w:bCs/>
          <w:sz w:val="20"/>
          <w:szCs w:val="20"/>
        </w:rPr>
        <w:t>*</w:t>
      </w:r>
      <w:bookmarkEnd w:id="1"/>
      <w:r w:rsidRPr="00531267">
        <w:rPr>
          <w:rFonts w:ascii="Verdana" w:eastAsia="Calibri" w:hAnsi="Verdana" w:cs="Times New Roman"/>
          <w:sz w:val="20"/>
          <w:szCs w:val="20"/>
        </w:rPr>
        <w:t xml:space="preserve">Av godkjent kostnad </w:t>
      </w:r>
    </w:p>
    <w:p w14:paraId="759ACE6E" w14:textId="77777777" w:rsidR="00531267" w:rsidRPr="00531267" w:rsidRDefault="00531267" w:rsidP="00531267">
      <w:pPr>
        <w:rPr>
          <w:rFonts w:ascii="Verdana" w:eastAsia="Calibri" w:hAnsi="Verdana" w:cs="Times New Roman"/>
          <w:sz w:val="20"/>
          <w:szCs w:val="20"/>
        </w:rPr>
      </w:pPr>
      <w:r w:rsidRPr="00531267">
        <w:rPr>
          <w:rFonts w:ascii="Verdana" w:eastAsia="Calibri" w:hAnsi="Verdana" w:cs="Times New Roman"/>
          <w:b/>
          <w:bCs/>
          <w:sz w:val="20"/>
          <w:szCs w:val="20"/>
        </w:rPr>
        <w:t>Klimamidler:</w:t>
      </w:r>
      <w:r w:rsidRPr="00531267">
        <w:rPr>
          <w:rFonts w:ascii="Verdana" w:eastAsia="Calibri" w:hAnsi="Verdana" w:cs="Times New Roman"/>
          <w:sz w:val="20"/>
          <w:szCs w:val="20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992"/>
        <w:gridCol w:w="1984"/>
        <w:gridCol w:w="3686"/>
      </w:tblGrid>
      <w:tr w:rsidR="00531267" w:rsidRPr="00531267" w14:paraId="0859D643" w14:textId="77777777" w:rsidTr="00531267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EE5469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Tiltak: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292320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Kode: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355A71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*Tilskuddssats: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DB7666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Merknad: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</w:tr>
      <w:tr w:rsidR="00531267" w:rsidRPr="00531267" w14:paraId="06B23F66" w14:textId="77777777" w:rsidTr="00DA4A6A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D8C72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Tettere planting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1F5E3" w14:textId="77777777" w:rsidR="00531267" w:rsidRPr="00531267" w:rsidRDefault="00531267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2E4B2" w14:textId="1C4B62A6" w:rsidR="00531267" w:rsidRPr="00531267" w:rsidRDefault="00531267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 xml:space="preserve">Inntil </w:t>
            </w:r>
            <w:r w:rsidR="00ED22C7">
              <w:rPr>
                <w:rFonts w:ascii="Verdana" w:eastAsia="Calibri" w:hAnsi="Verdana" w:cs="Times New Roman"/>
                <w:sz w:val="20"/>
                <w:szCs w:val="20"/>
              </w:rPr>
              <w:t>30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% på både plantekjøp og utsetting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BEA69" w14:textId="77777777" w:rsid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Gjelder inntil 50 planter/daa utover fastsatt</w:t>
            </w:r>
            <w:r w:rsidR="009951F8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minimumsantall</w:t>
            </w:r>
            <w:r w:rsidR="009951F8">
              <w:rPr>
                <w:rFonts w:ascii="Verdana" w:eastAsia="Calibri" w:hAnsi="Verdana" w:cs="Times New Roman"/>
                <w:sz w:val="20"/>
                <w:szCs w:val="20"/>
              </w:rPr>
              <w:t xml:space="preserve"> (</w:t>
            </w:r>
            <w:r w:rsidR="009951F8" w:rsidRPr="00531267">
              <w:rPr>
                <w:rFonts w:ascii="Verdana" w:eastAsia="Calibri" w:hAnsi="Verdana" w:cs="Times New Roman"/>
                <w:sz w:val="20"/>
                <w:szCs w:val="20"/>
              </w:rPr>
              <w:t>bonitetsavhengig</w:t>
            </w:r>
            <w:r w:rsidR="009951F8">
              <w:rPr>
                <w:rFonts w:ascii="Verdana" w:eastAsia="Calibri" w:hAnsi="Verdana" w:cs="Times New Roman"/>
                <w:sz w:val="20"/>
                <w:szCs w:val="20"/>
              </w:rPr>
              <w:t xml:space="preserve"> tabell).</w:t>
            </w:r>
          </w:p>
          <w:p w14:paraId="73CC7BB2" w14:textId="59ED1A92" w:rsidR="00DC2543" w:rsidRPr="00531267" w:rsidRDefault="00DC2543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Søknadsfrist </w:t>
            </w:r>
            <w:r w:rsidR="00AE0E7B"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. november.</w:t>
            </w:r>
          </w:p>
        </w:tc>
      </w:tr>
      <w:tr w:rsidR="00531267" w:rsidRPr="00531267" w14:paraId="463B442D" w14:textId="77777777" w:rsidTr="00DC2543">
        <w:trPr>
          <w:trHeight w:val="206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6D689" w14:textId="77777777" w:rsidR="00531267" w:rsidRPr="00531267" w:rsidRDefault="00531267" w:rsidP="00531267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Suppleringsplanting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14598" w14:textId="77777777" w:rsidR="00531267" w:rsidRPr="00531267" w:rsidRDefault="00531267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130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7D3EC" w14:textId="4A939BA9" w:rsidR="00531267" w:rsidRPr="00531267" w:rsidRDefault="00531267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 xml:space="preserve">Inntil </w:t>
            </w:r>
            <w:r w:rsidR="00ED22C7">
              <w:rPr>
                <w:rFonts w:ascii="Verdana" w:eastAsia="Calibri" w:hAnsi="Verdana" w:cs="Times New Roman"/>
                <w:sz w:val="20"/>
                <w:szCs w:val="20"/>
              </w:rPr>
              <w:t>30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 xml:space="preserve"> % på både plantekjøp og utsetting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7868D" w14:textId="77777777" w:rsidR="00531267" w:rsidRDefault="009951F8" w:rsidP="009951F8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Inntil </w:t>
            </w:r>
            <w:r w:rsidR="00B30D65">
              <w:rPr>
                <w:rFonts w:ascii="Verdana" w:eastAsia="Calibri" w:hAnsi="Verdana" w:cs="Times New Roman"/>
                <w:sz w:val="20"/>
                <w:szCs w:val="20"/>
              </w:rPr>
              <w:t>75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planter pr daa. 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 xml:space="preserve">Må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oppnå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 minimumsantall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planter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/daa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  <w:u w:val="single"/>
              </w:rPr>
              <w:t xml:space="preserve"> </w:t>
            </w:r>
            <w:r w:rsidRPr="00531267">
              <w:rPr>
                <w:rFonts w:ascii="Verdana" w:eastAsia="Calibri" w:hAnsi="Verdana" w:cs="Times New Roman"/>
                <w:sz w:val="20"/>
                <w:szCs w:val="20"/>
              </w:rPr>
              <w:t>etter tiltak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(bonitetsavhengig tabell</w:t>
            </w:r>
            <w:r w:rsidR="00B30D65">
              <w:rPr>
                <w:rFonts w:ascii="Verdana" w:eastAsia="Calibri" w:hAnsi="Verdana" w:cs="Times New Roman"/>
                <w:sz w:val="20"/>
                <w:szCs w:val="20"/>
              </w:rPr>
              <w:t>)</w:t>
            </w:r>
          </w:p>
          <w:p w14:paraId="7543EF44" w14:textId="77777777" w:rsidR="00B30D65" w:rsidRDefault="00B30D65" w:rsidP="009951F8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For eget arbeid godkjennes kr 5,50 pr. plante.</w:t>
            </w:r>
          </w:p>
          <w:p w14:paraId="5AEFB1DA" w14:textId="77777777" w:rsidR="00B30D65" w:rsidRDefault="00B30D65" w:rsidP="009951F8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Plantekostnad i.h.t. faktura.</w:t>
            </w:r>
          </w:p>
          <w:p w14:paraId="423A00BE" w14:textId="7F61ACA3" w:rsidR="00DC2543" w:rsidRPr="00DA4A6A" w:rsidRDefault="00DC2543" w:rsidP="009951F8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Søknadsfrist </w:t>
            </w:r>
            <w:r w:rsidR="00AE0E7B"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. november.</w:t>
            </w:r>
          </w:p>
        </w:tc>
      </w:tr>
      <w:tr w:rsidR="00DC2543" w:rsidRPr="00531267" w14:paraId="3C31D7F5" w14:textId="77777777" w:rsidTr="00DC2543">
        <w:trPr>
          <w:trHeight w:val="206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FE61" w14:textId="19AD63E4" w:rsidR="00DC2543" w:rsidRPr="00531267" w:rsidRDefault="00DC2543" w:rsidP="00531267">
            <w:pP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Gjødsling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8A2C9" w14:textId="2890D2EE" w:rsidR="00DC2543" w:rsidRPr="00531267" w:rsidRDefault="00AE0E7B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011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29C0CD" w14:textId="0E0F0694" w:rsidR="00DC2543" w:rsidRPr="00531267" w:rsidRDefault="00DC2543" w:rsidP="00531267">
            <w:pPr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Inntil 40% på gjødselkjøp og arbeid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D0022" w14:textId="77777777" w:rsidR="00967411" w:rsidRDefault="00967411" w:rsidP="009951F8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Kan u</w:t>
            </w:r>
            <w:r w:rsidR="00AE0E7B">
              <w:rPr>
                <w:rFonts w:ascii="Verdana" w:eastAsia="Calibri" w:hAnsi="Verdana" w:cs="Times New Roman"/>
                <w:sz w:val="20"/>
                <w:szCs w:val="20"/>
              </w:rPr>
              <w:t>tføres i produksjonsskog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av furu på bonitet F8 – F17 og gran på bonitet G8 – G20. Hogstklasse 4 prioriteres. Minst 10 år før hogst.</w:t>
            </w:r>
          </w:p>
          <w:p w14:paraId="5FD652C2" w14:textId="70DFBE86" w:rsidR="00DC2543" w:rsidRDefault="00887957" w:rsidP="009951F8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Søknadsfrist 15. september</w:t>
            </w:r>
          </w:p>
        </w:tc>
      </w:tr>
    </w:tbl>
    <w:p w14:paraId="27DF918E" w14:textId="25AAE52B" w:rsidR="00531267" w:rsidRPr="00531267" w:rsidRDefault="00531267" w:rsidP="00531267">
      <w:pPr>
        <w:rPr>
          <w:rFonts w:ascii="Verdana" w:eastAsia="Calibri" w:hAnsi="Verdana" w:cs="Times New Roman"/>
          <w:sz w:val="20"/>
          <w:szCs w:val="20"/>
        </w:rPr>
      </w:pPr>
      <w:r w:rsidRPr="00531267">
        <w:rPr>
          <w:rFonts w:ascii="Verdana" w:eastAsia="Calibri" w:hAnsi="Verdana" w:cs="Times New Roman"/>
          <w:b/>
          <w:bCs/>
          <w:sz w:val="20"/>
          <w:szCs w:val="20"/>
        </w:rPr>
        <w:t>*</w:t>
      </w:r>
      <w:r w:rsidR="00A534A4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  <w:r w:rsidR="00A534A4" w:rsidRPr="00A534A4">
        <w:rPr>
          <w:rFonts w:ascii="Verdana" w:eastAsia="Calibri" w:hAnsi="Verdana" w:cs="Times New Roman"/>
          <w:sz w:val="20"/>
          <w:szCs w:val="20"/>
        </w:rPr>
        <w:t xml:space="preserve">For </w:t>
      </w:r>
      <w:r w:rsidR="00A534A4">
        <w:rPr>
          <w:rFonts w:ascii="Verdana" w:eastAsia="Calibri" w:hAnsi="Verdana" w:cs="Times New Roman"/>
          <w:sz w:val="20"/>
          <w:szCs w:val="20"/>
        </w:rPr>
        <w:t xml:space="preserve">informasjon om regelverket se </w:t>
      </w:r>
      <w:hyperlink r:id="rId6" w:history="1">
        <w:r w:rsidR="00BD0E3D" w:rsidRPr="00BD0E3D">
          <w:rPr>
            <w:rStyle w:val="Hyperkobling"/>
            <w:rFonts w:ascii="Verdana" w:eastAsia="Calibri" w:hAnsi="Verdana" w:cs="Times New Roman"/>
            <w:sz w:val="20"/>
            <w:szCs w:val="20"/>
          </w:rPr>
          <w:t>Landbruksdirektoratet</w:t>
        </w:r>
      </w:hyperlink>
    </w:p>
    <w:p w14:paraId="46DFC7AE" w14:textId="77777777" w:rsidR="00531267" w:rsidRPr="00531267" w:rsidRDefault="00531267" w:rsidP="00531267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</w:p>
    <w:p w14:paraId="0EE2810A" w14:textId="33AFB7CB" w:rsidR="00531267" w:rsidRDefault="008E538A" w:rsidP="008E538A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874AF73" wp14:editId="2F7BD679">
            <wp:extent cx="3857625" cy="2343150"/>
            <wp:effectExtent l="0" t="0" r="9525" b="0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bord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476E3" w14:textId="77777777" w:rsidR="00ED22C7" w:rsidRDefault="00ED22C7" w:rsidP="008E538A">
      <w:pPr>
        <w:spacing w:after="0" w:line="240" w:lineRule="auto"/>
      </w:pPr>
    </w:p>
    <w:p w14:paraId="34631DC9" w14:textId="77777777" w:rsidR="00ED22C7" w:rsidRDefault="00ED22C7" w:rsidP="008E538A">
      <w:pPr>
        <w:spacing w:after="0" w:line="240" w:lineRule="auto"/>
      </w:pPr>
    </w:p>
    <w:p w14:paraId="4C5EA063" w14:textId="70A93D3F" w:rsidR="00ED22C7" w:rsidRDefault="00ED22C7" w:rsidP="008E538A">
      <w:pPr>
        <w:spacing w:after="0" w:line="240" w:lineRule="auto"/>
      </w:pPr>
      <w:r>
        <w:t>Tilskuddet beregnes av medgåtte, dokumenterte og godkjente kostnader til tiltaket. Dersom søknadsmengden blir st</w:t>
      </w:r>
      <w:r w:rsidR="00FA3B47">
        <w:t>ørre enn tildelingen, kan satsene bli redusert.</w:t>
      </w:r>
      <w:r w:rsidR="004B6899">
        <w:t xml:space="preserve"> Eget arbeid må dokumenteres med timeliste. Areal må beregnes og stedfestes, enten med bestandsnummer eller på kart.</w:t>
      </w:r>
    </w:p>
    <w:sectPr w:rsidR="00ED22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89EA" w14:textId="77777777" w:rsidR="00FA3035" w:rsidRDefault="00FA3035" w:rsidP="00531267">
      <w:pPr>
        <w:spacing w:after="0" w:line="240" w:lineRule="auto"/>
      </w:pPr>
      <w:r>
        <w:separator/>
      </w:r>
    </w:p>
  </w:endnote>
  <w:endnote w:type="continuationSeparator" w:id="0">
    <w:p w14:paraId="53908F68" w14:textId="77777777" w:rsidR="00FA3035" w:rsidRDefault="00FA3035" w:rsidP="0053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F4EB" w14:textId="77777777" w:rsidR="00FA3035" w:rsidRDefault="00FA3035" w:rsidP="00531267">
      <w:pPr>
        <w:spacing w:after="0" w:line="240" w:lineRule="auto"/>
      </w:pPr>
      <w:r>
        <w:separator/>
      </w:r>
    </w:p>
  </w:footnote>
  <w:footnote w:type="continuationSeparator" w:id="0">
    <w:p w14:paraId="7682594E" w14:textId="77777777" w:rsidR="00FA3035" w:rsidRDefault="00FA3035" w:rsidP="0053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2D90" w14:textId="79C2E048" w:rsidR="00531267" w:rsidRDefault="00531267" w:rsidP="00531267">
    <w:pPr>
      <w:pStyle w:val="Topptekst"/>
      <w:jc w:val="right"/>
    </w:pPr>
    <w:r>
      <w:rPr>
        <w:noProof/>
      </w:rPr>
      <w:drawing>
        <wp:inline distT="0" distB="0" distL="0" distR="0" wp14:anchorId="441ECCFC" wp14:editId="3422D0E0">
          <wp:extent cx="1877695" cy="798830"/>
          <wp:effectExtent l="0" t="0" r="8255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67"/>
    <w:rsid w:val="00000D8A"/>
    <w:rsid w:val="00006C0F"/>
    <w:rsid w:val="00014DDD"/>
    <w:rsid w:val="00156311"/>
    <w:rsid w:val="001B4602"/>
    <w:rsid w:val="00273157"/>
    <w:rsid w:val="00350341"/>
    <w:rsid w:val="00361103"/>
    <w:rsid w:val="003C30DF"/>
    <w:rsid w:val="00417702"/>
    <w:rsid w:val="0049512B"/>
    <w:rsid w:val="004B6899"/>
    <w:rsid w:val="00531267"/>
    <w:rsid w:val="005B03A1"/>
    <w:rsid w:val="005D0A89"/>
    <w:rsid w:val="0065203C"/>
    <w:rsid w:val="00661354"/>
    <w:rsid w:val="006763CE"/>
    <w:rsid w:val="007649FC"/>
    <w:rsid w:val="008238E9"/>
    <w:rsid w:val="008744E0"/>
    <w:rsid w:val="00887957"/>
    <w:rsid w:val="008A6A2F"/>
    <w:rsid w:val="008C6AE1"/>
    <w:rsid w:val="008E538A"/>
    <w:rsid w:val="00917976"/>
    <w:rsid w:val="00967411"/>
    <w:rsid w:val="009951F8"/>
    <w:rsid w:val="009952A9"/>
    <w:rsid w:val="00A534A4"/>
    <w:rsid w:val="00A933FE"/>
    <w:rsid w:val="00AB1437"/>
    <w:rsid w:val="00AD1CB0"/>
    <w:rsid w:val="00AE0E7B"/>
    <w:rsid w:val="00B30D65"/>
    <w:rsid w:val="00BD0E3D"/>
    <w:rsid w:val="00C1283D"/>
    <w:rsid w:val="00C360DE"/>
    <w:rsid w:val="00C454E6"/>
    <w:rsid w:val="00CD51B7"/>
    <w:rsid w:val="00D626E3"/>
    <w:rsid w:val="00DA4A6A"/>
    <w:rsid w:val="00DB1819"/>
    <w:rsid w:val="00DC2543"/>
    <w:rsid w:val="00E35557"/>
    <w:rsid w:val="00E7057D"/>
    <w:rsid w:val="00ED22C7"/>
    <w:rsid w:val="00F55460"/>
    <w:rsid w:val="00F76F06"/>
    <w:rsid w:val="00F95F13"/>
    <w:rsid w:val="00FA3035"/>
    <w:rsid w:val="00FA3B47"/>
    <w:rsid w:val="00FE7929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C5F0F"/>
  <w15:chartTrackingRefBased/>
  <w15:docId w15:val="{3087022A-2E70-422A-BDCC-9CF9E7A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3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1267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3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1267"/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BD0E3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0E3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D0E3D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A5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dbruksdirektoratet.no/nb/skogbruk/ordninger-for-skogbruk/tilskudd-til-tettere-skogplanting-som-klimatiltak?openStep=a2051e73-7f33-475c-84c6-933b57ac52d5-0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5" ma:contentTypeDescription="Opprett et nytt dokument." ma:contentTypeScope="" ma:versionID="b020691d9cc84f81154704ea83c1191a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c8f7b1a81daef977524a806c8899b29a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fc9408-bcfe-4bc5-a718-d0f1366223fb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CE130F-6B0C-4859-99B1-1EFD9679347D}"/>
</file>

<file path=customXml/itemProps2.xml><?xml version="1.0" encoding="utf-8"?>
<ds:datastoreItem xmlns:ds="http://schemas.openxmlformats.org/officeDocument/2006/customXml" ds:itemID="{0271AFC5-9B7A-41A6-811B-25F0400768A9}"/>
</file>

<file path=customXml/itemProps3.xml><?xml version="1.0" encoding="utf-8"?>
<ds:datastoreItem xmlns:ds="http://schemas.openxmlformats.org/officeDocument/2006/customXml" ds:itemID="{19DA556E-6B53-4998-A6F4-02BF22AC0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Elin Teksdal</dc:creator>
  <cp:keywords/>
  <dc:description/>
  <cp:lastModifiedBy>Bjørn Harald Sandvik</cp:lastModifiedBy>
  <cp:revision>2</cp:revision>
  <dcterms:created xsi:type="dcterms:W3CDTF">2025-02-13T09:21:00Z</dcterms:created>
  <dcterms:modified xsi:type="dcterms:W3CDTF">2025-02-13T09:21:00Z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</Properties>
</file>